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A8A" w:rsidRPr="00E8621E" w:rsidRDefault="00180A8A" w:rsidP="00005484">
      <w:pPr>
        <w:pStyle w:val="a4"/>
        <w:rPr>
          <w:sz w:val="28"/>
          <w:szCs w:val="28"/>
        </w:rPr>
      </w:pPr>
      <w:r w:rsidRPr="00E8621E">
        <w:rPr>
          <w:sz w:val="28"/>
          <w:szCs w:val="28"/>
        </w:rPr>
        <w:t>РОССИЙСКАЯ ФЕДЕРАЦИЯ</w:t>
      </w:r>
    </w:p>
    <w:p w:rsidR="00180A8A" w:rsidRPr="00E8621E" w:rsidRDefault="00180A8A" w:rsidP="00E8621E">
      <w:pPr>
        <w:pStyle w:val="a4"/>
        <w:rPr>
          <w:sz w:val="28"/>
          <w:szCs w:val="28"/>
        </w:rPr>
      </w:pPr>
      <w:r w:rsidRPr="00E8621E">
        <w:rPr>
          <w:sz w:val="28"/>
          <w:szCs w:val="28"/>
        </w:rPr>
        <w:t>БРЯНСКАЯ ОБЛАСТЬ</w:t>
      </w:r>
    </w:p>
    <w:p w:rsidR="00180A8A" w:rsidRPr="00E8621E" w:rsidRDefault="00180A8A" w:rsidP="00E8621E">
      <w:pPr>
        <w:pStyle w:val="a4"/>
        <w:rPr>
          <w:sz w:val="28"/>
          <w:szCs w:val="28"/>
        </w:rPr>
      </w:pPr>
      <w:r w:rsidRPr="00E8621E">
        <w:rPr>
          <w:sz w:val="28"/>
          <w:szCs w:val="28"/>
        </w:rPr>
        <w:t>ПОЧЕПСКИЙ РАЙОННЫЙ СОВЕТ НАРОДНЫХ ДЕПУТАТОВ</w:t>
      </w:r>
    </w:p>
    <w:p w:rsidR="00180A8A" w:rsidRPr="00E8621E" w:rsidRDefault="00180A8A" w:rsidP="00E8621E">
      <w:pPr>
        <w:pStyle w:val="a4"/>
        <w:rPr>
          <w:sz w:val="28"/>
          <w:szCs w:val="28"/>
        </w:rPr>
      </w:pPr>
    </w:p>
    <w:p w:rsidR="00180A8A" w:rsidRPr="00E8621E" w:rsidRDefault="00180A8A" w:rsidP="00E8621E">
      <w:pPr>
        <w:pStyle w:val="a4"/>
        <w:rPr>
          <w:sz w:val="28"/>
          <w:szCs w:val="28"/>
        </w:rPr>
      </w:pPr>
      <w:proofErr w:type="gramStart"/>
      <w:r w:rsidRPr="00E8621E">
        <w:rPr>
          <w:sz w:val="28"/>
          <w:szCs w:val="28"/>
        </w:rPr>
        <w:t>Р</w:t>
      </w:r>
      <w:proofErr w:type="gramEnd"/>
      <w:r w:rsidRPr="00E8621E">
        <w:rPr>
          <w:sz w:val="28"/>
          <w:szCs w:val="28"/>
        </w:rPr>
        <w:t xml:space="preserve"> Е Ш Е Н И Е</w:t>
      </w:r>
    </w:p>
    <w:p w:rsidR="00180A8A" w:rsidRPr="00E8621E" w:rsidRDefault="00180A8A" w:rsidP="00E8621E">
      <w:pPr>
        <w:rPr>
          <w:sz w:val="28"/>
          <w:szCs w:val="28"/>
        </w:rPr>
      </w:pPr>
    </w:p>
    <w:p w:rsidR="00180A8A" w:rsidRPr="00E8621E" w:rsidRDefault="0063584B" w:rsidP="00E862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Pr="0063584B">
        <w:rPr>
          <w:rFonts w:ascii="Times New Roman" w:hAnsi="Times New Roman"/>
          <w:sz w:val="28"/>
          <w:szCs w:val="28"/>
          <w:u w:val="single"/>
        </w:rPr>
        <w:t>14.11.</w:t>
      </w:r>
      <w:r w:rsidR="00180A8A" w:rsidRPr="0063584B">
        <w:rPr>
          <w:rFonts w:ascii="Times New Roman" w:hAnsi="Times New Roman"/>
          <w:sz w:val="28"/>
          <w:szCs w:val="28"/>
          <w:u w:val="single"/>
        </w:rPr>
        <w:t xml:space="preserve"> 2017</w:t>
      </w:r>
      <w:r w:rsidR="00180A8A" w:rsidRPr="00E8621E">
        <w:rPr>
          <w:rFonts w:ascii="Times New Roman" w:hAnsi="Times New Roman"/>
          <w:sz w:val="28"/>
          <w:szCs w:val="28"/>
        </w:rPr>
        <w:t xml:space="preserve">    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584B">
        <w:rPr>
          <w:rFonts w:ascii="Times New Roman" w:hAnsi="Times New Roman"/>
          <w:sz w:val="28"/>
          <w:szCs w:val="28"/>
          <w:u w:val="single"/>
        </w:rPr>
        <w:t>265</w:t>
      </w:r>
    </w:p>
    <w:p w:rsidR="00180A8A" w:rsidRPr="00E8621E" w:rsidRDefault="00180A8A" w:rsidP="00E862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 г. Почеп </w:t>
      </w:r>
    </w:p>
    <w:p w:rsidR="00180A8A" w:rsidRPr="00630C62" w:rsidRDefault="00180A8A" w:rsidP="00630C62">
      <w:pPr>
        <w:pStyle w:val="a3"/>
        <w:rPr>
          <w:rFonts w:ascii="Times New Roman" w:hAnsi="Times New Roman"/>
          <w:sz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48"/>
      </w:tblGrid>
      <w:tr w:rsidR="00180A8A" w:rsidRPr="00E8621E" w:rsidTr="00E8621E">
        <w:tc>
          <w:tcPr>
            <w:tcW w:w="6048" w:type="dxa"/>
          </w:tcPr>
          <w:p w:rsidR="00180A8A" w:rsidRPr="00E8621E" w:rsidRDefault="00180A8A" w:rsidP="00630C62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621E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формирования, ведения, обязательного опубликования перечня имущества муниципальной собственности </w:t>
            </w:r>
            <w:r>
              <w:rPr>
                <w:rFonts w:ascii="Times New Roman" w:hAnsi="Times New Roman"/>
                <w:sz w:val="28"/>
                <w:szCs w:val="28"/>
              </w:rPr>
              <w:t>Почепского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      </w:r>
            <w:proofErr w:type="gramEnd"/>
          </w:p>
        </w:tc>
        <w:bookmarkStart w:id="0" w:name="_GoBack"/>
        <w:bookmarkEnd w:id="0"/>
      </w:tr>
    </w:tbl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AE54F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6" w:history="1">
        <w:r w:rsidRPr="00E8621E">
          <w:rPr>
            <w:rFonts w:ascii="Times New Roman" w:hAnsi="Times New Roman"/>
            <w:sz w:val="28"/>
            <w:szCs w:val="28"/>
          </w:rPr>
          <w:t>законом</w:t>
        </w:r>
      </w:hyperlink>
      <w:r w:rsidRPr="00E8621E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«Почепский район»</w:t>
      </w:r>
      <w:r w:rsidRPr="00E8621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Почепский </w:t>
      </w:r>
      <w:r w:rsidRPr="00E8621E">
        <w:rPr>
          <w:rFonts w:ascii="Times New Roman" w:hAnsi="Times New Roman"/>
          <w:sz w:val="28"/>
          <w:szCs w:val="28"/>
        </w:rPr>
        <w:t>районный Совет народных депутатов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РЕШИЛ: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E86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Утвердить прилагаемый </w:t>
      </w:r>
      <w:hyperlink w:anchor="P36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Порядок</w:t>
        </w:r>
      </w:hyperlink>
      <w:r w:rsidRPr="00E8621E">
        <w:rPr>
          <w:rFonts w:ascii="Times New Roman" w:hAnsi="Times New Roman"/>
          <w:sz w:val="28"/>
          <w:szCs w:val="28"/>
        </w:rPr>
        <w:t xml:space="preserve"> формирования, ведения, обязательного 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 xml:space="preserve">Почепского </w:t>
      </w:r>
      <w:r w:rsidRPr="00E8621E">
        <w:rPr>
          <w:rFonts w:ascii="Times New Roman" w:hAnsi="Times New Roman"/>
          <w:sz w:val="28"/>
          <w:szCs w:val="28"/>
        </w:rPr>
        <w:t>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  <w:proofErr w:type="gramEnd"/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E8621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2.  Решение вступает в силу с момента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(обнародования) в установленном порядке</w:t>
      </w:r>
      <w:r w:rsidRPr="00E8621E">
        <w:rPr>
          <w:rFonts w:ascii="Times New Roman" w:hAnsi="Times New Roman"/>
          <w:sz w:val="28"/>
          <w:szCs w:val="28"/>
        </w:rPr>
        <w:t>.</w:t>
      </w: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Глава района</w:t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 w:rsidRPr="00E862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С.Ф. </w:t>
      </w:r>
      <w:proofErr w:type="spellStart"/>
      <w:r>
        <w:rPr>
          <w:rFonts w:ascii="Times New Roman" w:hAnsi="Times New Roman"/>
          <w:sz w:val="28"/>
          <w:szCs w:val="28"/>
        </w:rPr>
        <w:t>Чеботкевич</w:t>
      </w:r>
      <w:proofErr w:type="spellEnd"/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Ind w:w="6062" w:type="dxa"/>
        <w:tblLook w:val="00A0" w:firstRow="1" w:lastRow="0" w:firstColumn="1" w:lastColumn="0" w:noHBand="0" w:noVBand="0"/>
      </w:tblPr>
      <w:tblGrid>
        <w:gridCol w:w="3935"/>
      </w:tblGrid>
      <w:tr w:rsidR="00180A8A" w:rsidRPr="00E8621E" w:rsidTr="004F23F4">
        <w:tc>
          <w:tcPr>
            <w:tcW w:w="3935" w:type="dxa"/>
          </w:tcPr>
          <w:p w:rsidR="00180A8A" w:rsidRPr="00E8621E" w:rsidRDefault="00180A8A" w:rsidP="00592DA5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E8621E">
              <w:rPr>
                <w:rFonts w:ascii="Times New Roman" w:hAnsi="Times New Roman"/>
                <w:sz w:val="28"/>
                <w:szCs w:val="28"/>
              </w:rPr>
              <w:t>Приложение к решению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Почепского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 районного Совета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 xml:space="preserve">народных депутатов </w:t>
            </w:r>
            <w:r w:rsidRPr="00E8621E">
              <w:rPr>
                <w:rFonts w:ascii="Times New Roman" w:hAnsi="Times New Roman"/>
                <w:sz w:val="28"/>
                <w:szCs w:val="28"/>
              </w:rPr>
              <w:br/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8621E">
              <w:rPr>
                <w:rFonts w:ascii="Times New Roman" w:hAnsi="Times New Roman"/>
                <w:sz w:val="28"/>
                <w:szCs w:val="28"/>
              </w:rPr>
              <w:t xml:space="preserve">.2017г. № </w:t>
            </w:r>
            <w:r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</w:tbl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8621E">
        <w:rPr>
          <w:rFonts w:ascii="Times New Roman" w:hAnsi="Times New Roman"/>
          <w:sz w:val="28"/>
          <w:szCs w:val="28"/>
        </w:rPr>
        <w:t>ПОРЯДОК</w:t>
      </w:r>
      <w:r w:rsidRPr="00E8621E">
        <w:rPr>
          <w:rFonts w:ascii="Times New Roman" w:hAnsi="Times New Roman"/>
          <w:sz w:val="28"/>
          <w:szCs w:val="28"/>
        </w:rPr>
        <w:br/>
        <w:t xml:space="preserve">формирования, ведения, обязательного опубликования перечня имущества муниципальной собственности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предпринимательства.</w:t>
      </w:r>
      <w:proofErr w:type="gramEnd"/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>I. Общие положения</w:t>
      </w:r>
    </w:p>
    <w:p w:rsidR="00180A8A" w:rsidRPr="00E8621E" w:rsidRDefault="00180A8A" w:rsidP="00630C6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80A8A" w:rsidRPr="00E8621E" w:rsidRDefault="00180A8A" w:rsidP="00630C62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E8621E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E8621E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Федеральным </w:t>
      </w:r>
      <w:hyperlink r:id="rId7" w:history="1">
        <w:r w:rsidRPr="00E8621E">
          <w:rPr>
            <w:rStyle w:val="a6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E8621E">
        <w:rPr>
          <w:rFonts w:ascii="Times New Roman" w:hAnsi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 и определяет механизм формирования, ведения и опубликования перечня имущества, находящегося в муниципальной собственности </w:t>
      </w:r>
      <w:r>
        <w:rPr>
          <w:rFonts w:ascii="Times New Roman" w:hAnsi="Times New Roman"/>
          <w:sz w:val="28"/>
          <w:szCs w:val="28"/>
        </w:rPr>
        <w:t>Почепского</w:t>
      </w:r>
      <w:r w:rsidRPr="00E8621E">
        <w:rPr>
          <w:rFonts w:ascii="Times New Roman" w:hAnsi="Times New Roman"/>
          <w:sz w:val="28"/>
          <w:szCs w:val="28"/>
        </w:rPr>
        <w:t xml:space="preserve"> муниципального района и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</w:t>
      </w:r>
      <w:proofErr w:type="gramEnd"/>
      <w:r w:rsidRPr="00E8621E">
        <w:rPr>
          <w:rFonts w:ascii="Times New Roman" w:hAnsi="Times New Roman"/>
          <w:sz w:val="28"/>
          <w:szCs w:val="28"/>
        </w:rPr>
        <w:t xml:space="preserve">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1.2. </w:t>
      </w:r>
      <w:proofErr w:type="gramStart"/>
      <w:r w:rsidRPr="00E8621E">
        <w:rPr>
          <w:sz w:val="28"/>
          <w:szCs w:val="28"/>
        </w:rPr>
        <w:t xml:space="preserve">В перечень включаются объекты недвижимого и движимого имущества, находящиеся в муниципальной собственности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(земельные участки, здания, строения, сооружения, нежилые помещения, оборудование, машины, механизмы, установки, транспортные средства, инвентарь, инструменты, свободные от прав третьих лиц) (за исключением имущественных прав субъектов малого и среднего предпринимательства) (далее - имущество).</w:t>
      </w:r>
      <w:proofErr w:type="gramEnd"/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1.3. Имущество, включенное в перечень, предоставляется в аренду в порядке, установленном действующим законодательством Российской Федерации, по результатам проведения конкурсов или аукционов с учетом особенностей, установленных </w:t>
      </w:r>
      <w:hyperlink r:id="rId8" w:history="1">
        <w:r w:rsidRPr="00E8621E">
          <w:rPr>
            <w:rStyle w:val="a6"/>
            <w:color w:val="000000"/>
            <w:sz w:val="28"/>
            <w:szCs w:val="28"/>
            <w:u w:val="none"/>
          </w:rPr>
          <w:t>статьей 17.1</w:t>
        </w:r>
      </w:hyperlink>
      <w:r w:rsidRPr="00E8621E">
        <w:rPr>
          <w:color w:val="000000"/>
          <w:sz w:val="28"/>
          <w:szCs w:val="28"/>
        </w:rPr>
        <w:t xml:space="preserve"> </w:t>
      </w:r>
      <w:r w:rsidRPr="00E8621E">
        <w:rPr>
          <w:sz w:val="28"/>
          <w:szCs w:val="28"/>
        </w:rPr>
        <w:t xml:space="preserve">Федерального закона от 26 июля </w:t>
      </w:r>
      <w:smartTag w:uri="urn:schemas-microsoft-com:office:smarttags" w:element="metricconverter">
        <w:smartTagPr>
          <w:attr w:name="ProductID" w:val="2006 г"/>
        </w:smartTagPr>
        <w:r w:rsidRPr="00E8621E">
          <w:rPr>
            <w:sz w:val="28"/>
            <w:szCs w:val="28"/>
          </w:rPr>
          <w:t>2006 г</w:t>
        </w:r>
      </w:smartTag>
      <w:r w:rsidRPr="00E8621E">
        <w:rPr>
          <w:sz w:val="28"/>
          <w:szCs w:val="28"/>
        </w:rPr>
        <w:t>. № 135-ФЗ «О защите конкуренции».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II. Порядок формирования и ведения перечня</w:t>
      </w:r>
    </w:p>
    <w:p w:rsidR="00180A8A" w:rsidRPr="00E8621E" w:rsidRDefault="00180A8A" w:rsidP="00630C62">
      <w:pPr>
        <w:pStyle w:val="ConsPlusNormal"/>
        <w:jc w:val="center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2.1. </w:t>
      </w:r>
      <w:hyperlink w:anchor="P84" w:history="1">
        <w:r w:rsidRPr="00E8621E">
          <w:rPr>
            <w:rStyle w:val="a6"/>
            <w:color w:val="000000"/>
            <w:sz w:val="28"/>
            <w:szCs w:val="28"/>
            <w:u w:val="none"/>
          </w:rPr>
          <w:t>Перечень</w:t>
        </w:r>
      </w:hyperlink>
      <w:r w:rsidRPr="00E8621E">
        <w:rPr>
          <w:sz w:val="28"/>
          <w:szCs w:val="28"/>
        </w:rPr>
        <w:t xml:space="preserve"> составляется по форме согласно приложению к настоящему Порядку.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lastRenderedPageBreak/>
        <w:t xml:space="preserve">2.2. Формирование и ведение перечня, внесение в него изменений осуществляется </w:t>
      </w:r>
      <w:r>
        <w:rPr>
          <w:sz w:val="28"/>
          <w:szCs w:val="28"/>
        </w:rPr>
        <w:t>администрацией Почепского района</w:t>
      </w:r>
      <w:r w:rsidRPr="00E8621E">
        <w:rPr>
          <w:sz w:val="28"/>
          <w:szCs w:val="28"/>
        </w:rPr>
        <w:t xml:space="preserve"> (далее - уполномоченный орган).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2.3. Имущество, включаемое в перечень, должно быть пригодно для использования его по целевому назначению для ведения предпринимательской деятельности, заключения соответствующего договора о передаче имущества во владение и (или) пользование субъекту малого и среднего предпринимательства. 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2.4. Включаемое в перечень имущество не должно относиться к имуществу, изъятому из оборота, объектам религиозного назначения, объектам незавершенного строительства, не должно быть включено в прогнозный план приватизации на следующий год или плановый период либо иное подлежащее исполнению решение собственника о предоставлении третьему лицу.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>2.5. Перечень дополняется не реже одного раза в год, но не позднее 1 ноября текущего года, за исключением случая, если в муниципальной собственности отсутствует имущество, соответствующее требованиям закона № 209-ФЗ «О развитии малого и среднего предпринимательства в Российской Федерации».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2.6. Перечень подлежит уточнению в случае гибели (порчи) объекта, необходимости включения новых объектов, исключения объектов из перечня, возникновения либо прекращения обременения. 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 w:rsidRPr="00E8621E">
        <w:rPr>
          <w:sz w:val="28"/>
          <w:szCs w:val="28"/>
        </w:rPr>
        <w:t xml:space="preserve">2.7. Имущество, включенное в перечень, не подлежит отчуждению в частную собственность,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9" w:history="1">
        <w:r w:rsidRPr="007C7853">
          <w:rPr>
            <w:rStyle w:val="a6"/>
            <w:color w:val="000000"/>
            <w:sz w:val="28"/>
            <w:szCs w:val="28"/>
            <w:u w:val="none"/>
          </w:rPr>
          <w:t>частью 2.1 статьи 9</w:t>
        </w:r>
      </w:hyperlink>
      <w:r w:rsidRPr="007C7853">
        <w:rPr>
          <w:sz w:val="28"/>
          <w:szCs w:val="28"/>
        </w:rPr>
        <w:t xml:space="preserve"> </w:t>
      </w:r>
      <w:r w:rsidRPr="00E8621E">
        <w:rPr>
          <w:sz w:val="28"/>
          <w:szCs w:val="28"/>
        </w:rPr>
        <w:t>Закона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jc w:val="center"/>
        <w:outlineLvl w:val="1"/>
        <w:rPr>
          <w:sz w:val="28"/>
          <w:szCs w:val="28"/>
        </w:rPr>
      </w:pPr>
      <w:r w:rsidRPr="00E8621E">
        <w:rPr>
          <w:sz w:val="28"/>
          <w:szCs w:val="28"/>
        </w:rPr>
        <w:t>III. Опубликование перечня</w:t>
      </w:r>
    </w:p>
    <w:p w:rsidR="00180A8A" w:rsidRPr="00E8621E" w:rsidRDefault="00180A8A" w:rsidP="00630C62">
      <w:pPr>
        <w:pStyle w:val="ConsPlusNormal"/>
        <w:jc w:val="center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E8621E">
        <w:rPr>
          <w:sz w:val="28"/>
          <w:szCs w:val="28"/>
        </w:rPr>
        <w:t xml:space="preserve">Перечень, а также внесенные в него изменения и дополнения подлежат обязательному опубликованию в информационно-телекоммуникационной сети Интернет: на официальном сайте администрации </w:t>
      </w:r>
      <w:r>
        <w:rPr>
          <w:sz w:val="28"/>
          <w:szCs w:val="28"/>
        </w:rPr>
        <w:t>Почепского</w:t>
      </w:r>
      <w:r w:rsidRPr="00E8621E">
        <w:rPr>
          <w:sz w:val="28"/>
          <w:szCs w:val="28"/>
        </w:rPr>
        <w:t xml:space="preserve"> муниципального района в течение 3 (трех) рабочих дней, а также на официальном сайте информационной поддержки субъектов малого и среднего предпринимательства в течение 5 (пяти) рабочих дней со дня утверждения.</w:t>
      </w: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pStyle w:val="ConsPlusNormal"/>
        <w:ind w:firstLine="540"/>
        <w:jc w:val="both"/>
        <w:rPr>
          <w:sz w:val="28"/>
          <w:szCs w:val="28"/>
        </w:rPr>
      </w:pPr>
    </w:p>
    <w:p w:rsidR="00180A8A" w:rsidRPr="00E8621E" w:rsidRDefault="00180A8A" w:rsidP="00630C62">
      <w:pPr>
        <w:jc w:val="center"/>
        <w:rPr>
          <w:sz w:val="28"/>
          <w:szCs w:val="28"/>
        </w:rPr>
      </w:pPr>
    </w:p>
    <w:p w:rsidR="00180A8A" w:rsidRDefault="00180A8A" w:rsidP="00630C62">
      <w:pPr>
        <w:pStyle w:val="ConsPlusNormal"/>
        <w:jc w:val="right"/>
        <w:outlineLvl w:val="1"/>
        <w:sectPr w:rsidR="00180A8A" w:rsidSect="0087599D">
          <w:pgSz w:w="11906" w:h="16838" w:code="9"/>
          <w:pgMar w:top="709" w:right="707" w:bottom="709" w:left="1418" w:header="720" w:footer="720" w:gutter="0"/>
          <w:cols w:space="720"/>
        </w:sectPr>
      </w:pPr>
    </w:p>
    <w:tbl>
      <w:tblPr>
        <w:tblW w:w="0" w:type="auto"/>
        <w:tblInd w:w="10031" w:type="dxa"/>
        <w:tblLook w:val="00A0" w:firstRow="1" w:lastRow="0" w:firstColumn="1" w:lastColumn="0" w:noHBand="0" w:noVBand="0"/>
      </w:tblPr>
      <w:tblGrid>
        <w:gridCol w:w="5038"/>
      </w:tblGrid>
      <w:tr w:rsidR="00180A8A" w:rsidRPr="0038267F" w:rsidTr="004F23F4">
        <w:tc>
          <w:tcPr>
            <w:tcW w:w="5670" w:type="dxa"/>
          </w:tcPr>
          <w:p w:rsidR="00180A8A" w:rsidRDefault="00180A8A" w:rsidP="004F23F4">
            <w:pPr>
              <w:pStyle w:val="ConsPlusNormal"/>
              <w:jc w:val="both"/>
              <w:outlineLvl w:val="1"/>
            </w:pPr>
            <w:r>
              <w:lastRenderedPageBreak/>
              <w:t>Приложение</w:t>
            </w:r>
            <w:r>
              <w:br/>
              <w:t>к Порядку формирования, ведения, обязательного опубликования перечня  имущества муниципальной собственности Почепского муниципального района,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      </w:r>
          </w:p>
        </w:tc>
      </w:tr>
    </w:tbl>
    <w:p w:rsidR="00180A8A" w:rsidRDefault="00180A8A" w:rsidP="00630C62">
      <w:pPr>
        <w:pStyle w:val="ConsPlusNormal"/>
        <w:jc w:val="right"/>
        <w:outlineLvl w:val="1"/>
      </w:pPr>
    </w:p>
    <w:p w:rsidR="00180A8A" w:rsidRDefault="00180A8A" w:rsidP="00630C62">
      <w:pPr>
        <w:pStyle w:val="ConsPlusNormal"/>
        <w:jc w:val="right"/>
        <w:outlineLvl w:val="1"/>
      </w:pPr>
    </w:p>
    <w:p w:rsidR="00180A8A" w:rsidRDefault="00180A8A" w:rsidP="00630C62">
      <w:pPr>
        <w:pStyle w:val="ConsPlusNormal"/>
        <w:ind w:firstLine="540"/>
        <w:jc w:val="both"/>
      </w:pPr>
    </w:p>
    <w:p w:rsidR="00180A8A" w:rsidRDefault="00180A8A" w:rsidP="00630C62">
      <w:pPr>
        <w:pStyle w:val="ConsPlusNormal"/>
        <w:ind w:firstLine="540"/>
        <w:jc w:val="both"/>
      </w:pPr>
      <w:bookmarkStart w:id="1" w:name="P84"/>
      <w:bookmarkEnd w:id="1"/>
    </w:p>
    <w:p w:rsidR="00180A8A" w:rsidRDefault="00180A8A" w:rsidP="00630C62">
      <w:pPr>
        <w:pStyle w:val="ConsPlusNormal"/>
        <w:jc w:val="center"/>
      </w:pPr>
      <w:r>
        <w:t xml:space="preserve">Типовая форма перечня </w:t>
      </w:r>
      <w:r>
        <w:br/>
        <w:t xml:space="preserve">имущества муниципальной собственности Почепского муниципального района, </w:t>
      </w:r>
      <w:r>
        <w:br/>
        <w:t>свободного от прав третьих лиц</w:t>
      </w:r>
    </w:p>
    <w:p w:rsidR="00180A8A" w:rsidRDefault="00180A8A" w:rsidP="00630C62">
      <w:pPr>
        <w:pStyle w:val="ConsPlusNormal"/>
        <w:jc w:val="center"/>
      </w:pPr>
    </w:p>
    <w:p w:rsidR="00180A8A" w:rsidRDefault="00180A8A" w:rsidP="00630C62">
      <w:pPr>
        <w:pStyle w:val="ConsPlusNormal"/>
        <w:ind w:firstLine="540"/>
        <w:jc w:val="both"/>
      </w:pPr>
    </w:p>
    <w:tbl>
      <w:tblPr>
        <w:tblW w:w="15025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1"/>
        <w:gridCol w:w="3614"/>
        <w:gridCol w:w="2063"/>
        <w:gridCol w:w="2127"/>
        <w:gridCol w:w="2551"/>
        <w:gridCol w:w="2126"/>
        <w:gridCol w:w="1843"/>
      </w:tblGrid>
      <w:tr w:rsidR="00180A8A" w:rsidRPr="0038267F" w:rsidTr="004F23F4">
        <w:tc>
          <w:tcPr>
            <w:tcW w:w="70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№</w:t>
            </w:r>
          </w:p>
          <w:p w:rsidR="00180A8A" w:rsidRDefault="00180A8A" w:rsidP="004F23F4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614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Адрес (местоположение) объекта</w:t>
            </w:r>
          </w:p>
        </w:tc>
        <w:tc>
          <w:tcPr>
            <w:tcW w:w="206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Вид объекта муниципального имущества (движимое, недвижимое)</w:t>
            </w:r>
          </w:p>
        </w:tc>
        <w:tc>
          <w:tcPr>
            <w:tcW w:w="2127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55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Основная характеристика объекта (площадь, протяженность, объем, регистрационный номер и т.п.)</w:t>
            </w:r>
          </w:p>
        </w:tc>
        <w:tc>
          <w:tcPr>
            <w:tcW w:w="2126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Правообладатель (арендатор)</w:t>
            </w:r>
          </w:p>
        </w:tc>
        <w:tc>
          <w:tcPr>
            <w:tcW w:w="184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Документы (дата, номер договора и срок действия)</w:t>
            </w:r>
          </w:p>
        </w:tc>
      </w:tr>
      <w:tr w:rsidR="00180A8A" w:rsidRPr="0038267F" w:rsidTr="004F23F4">
        <w:tc>
          <w:tcPr>
            <w:tcW w:w="70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14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6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127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51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180A8A" w:rsidRDefault="00180A8A" w:rsidP="004F23F4">
            <w:pPr>
              <w:pStyle w:val="ConsPlusNormal"/>
              <w:jc w:val="center"/>
            </w:pPr>
            <w:r>
              <w:t>7</w:t>
            </w:r>
          </w:p>
        </w:tc>
      </w:tr>
    </w:tbl>
    <w:p w:rsidR="00180A8A" w:rsidRPr="00630C62" w:rsidRDefault="00180A8A" w:rsidP="00630C62">
      <w:pPr>
        <w:pStyle w:val="a3"/>
        <w:rPr>
          <w:rFonts w:ascii="Times New Roman" w:hAnsi="Times New Roman"/>
          <w:sz w:val="24"/>
          <w:szCs w:val="24"/>
        </w:rPr>
      </w:pPr>
    </w:p>
    <w:sectPr w:rsidR="00180A8A" w:rsidRPr="00630C62" w:rsidSect="005116F5">
      <w:pgSz w:w="16838" w:h="11906" w:orient="landscape"/>
      <w:pgMar w:top="851" w:right="1134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A8A9A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5B699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72666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76AD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8161D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6F2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EAE9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C442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841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6967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62"/>
    <w:rsid w:val="00005484"/>
    <w:rsid w:val="00017079"/>
    <w:rsid w:val="00017B72"/>
    <w:rsid w:val="00101041"/>
    <w:rsid w:val="00180A8A"/>
    <w:rsid w:val="001E4FFA"/>
    <w:rsid w:val="00302608"/>
    <w:rsid w:val="0038267F"/>
    <w:rsid w:val="004F23F4"/>
    <w:rsid w:val="005116F5"/>
    <w:rsid w:val="00592DA5"/>
    <w:rsid w:val="005E1B0B"/>
    <w:rsid w:val="00630C62"/>
    <w:rsid w:val="0063584B"/>
    <w:rsid w:val="006B3D2A"/>
    <w:rsid w:val="006D682F"/>
    <w:rsid w:val="00701BEF"/>
    <w:rsid w:val="007C7853"/>
    <w:rsid w:val="008106EA"/>
    <w:rsid w:val="00851A3C"/>
    <w:rsid w:val="0087599D"/>
    <w:rsid w:val="009D5B42"/>
    <w:rsid w:val="00A518EC"/>
    <w:rsid w:val="00A53E5E"/>
    <w:rsid w:val="00A56266"/>
    <w:rsid w:val="00AE54FC"/>
    <w:rsid w:val="00B82420"/>
    <w:rsid w:val="00C83161"/>
    <w:rsid w:val="00D62C9A"/>
    <w:rsid w:val="00E16C0A"/>
    <w:rsid w:val="00E62031"/>
    <w:rsid w:val="00E8621E"/>
    <w:rsid w:val="00FA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16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30C62"/>
    <w:rPr>
      <w:sz w:val="22"/>
      <w:szCs w:val="22"/>
    </w:rPr>
  </w:style>
  <w:style w:type="paragraph" w:styleId="a4">
    <w:name w:val="Title"/>
    <w:basedOn w:val="a"/>
    <w:link w:val="a5"/>
    <w:uiPriority w:val="99"/>
    <w:qFormat/>
    <w:rsid w:val="00630C62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5">
    <w:name w:val="Название Знак"/>
    <w:link w:val="a4"/>
    <w:uiPriority w:val="99"/>
    <w:locked/>
    <w:rsid w:val="00630C62"/>
    <w:rPr>
      <w:rFonts w:ascii="Times New Roman" w:hAnsi="Times New Roman" w:cs="Times New Roman"/>
      <w:sz w:val="20"/>
      <w:szCs w:val="20"/>
    </w:rPr>
  </w:style>
  <w:style w:type="character" w:styleId="a6">
    <w:name w:val="Hyperlink"/>
    <w:uiPriority w:val="99"/>
    <w:rsid w:val="00630C62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630C6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ConsPlusNormal">
    <w:name w:val="ConsPlusNormal"/>
    <w:uiPriority w:val="99"/>
    <w:rsid w:val="00630C6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7">
    <w:name w:val="Balloon Text"/>
    <w:basedOn w:val="a"/>
    <w:link w:val="a8"/>
    <w:uiPriority w:val="99"/>
    <w:semiHidden/>
    <w:rsid w:val="0063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30C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696715CBED8CA405A377E85623FDF76E7FCCC458C81DAE0CF9948273C768BE79B7315DC52C2884f4qF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696715CBED8CA405A377E85623FDF76E7FCDC952C11DAE0CF9948273fCq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5696715CBED8CA405A377E85623FDF76E7FCDC952C11DAE0CF9948273fCq7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696715CBED8CA405A377E85623FDF76E7CC4C15DC31DAE0CF9948273C768BE79B7315DC52C2C8Df4q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Uzver</cp:lastModifiedBy>
  <cp:revision>15</cp:revision>
  <dcterms:created xsi:type="dcterms:W3CDTF">2018-07-17T09:12:00Z</dcterms:created>
  <dcterms:modified xsi:type="dcterms:W3CDTF">2020-09-07T12:35:00Z</dcterms:modified>
</cp:coreProperties>
</file>